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5B5" w:rsidRDefault="003305B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0108F" w:rsidRDefault="000227B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Форма зворотного зв’язку: Рівний доступ до політики</w:t>
      </w:r>
    </w:p>
    <w:p w:rsidR="003305B5" w:rsidRDefault="003305B5">
      <w:pPr>
        <w:spacing w:before="12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305B5" w:rsidTr="007B0068">
        <w:tc>
          <w:tcPr>
            <w:tcW w:w="10173" w:type="dxa"/>
            <w:tcBorders>
              <w:top w:val="nil"/>
            </w:tcBorders>
          </w:tcPr>
          <w:p w:rsidR="003305B5" w:rsidRDefault="003305B5" w:rsidP="003305B5">
            <w:pPr>
              <w:spacing w:before="120" w:after="24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1. Рівний доступ до політики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6"/>
                <w:szCs w:val="26"/>
              </w:rPr>
              <w:t xml:space="preserve">– це </w:t>
            </w:r>
          </w:p>
          <w:p w:rsidR="003305B5" w:rsidRDefault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305B5" w:rsidTr="007B0068">
        <w:tc>
          <w:tcPr>
            <w:tcW w:w="10173" w:type="dxa"/>
          </w:tcPr>
          <w:p w:rsidR="003305B5" w:rsidRDefault="003305B5" w:rsidP="003305B5">
            <w:pPr>
              <w:spacing w:before="120" w:after="24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2. Назвіть три ключові перешкоди для рівного доступу до політики </w:t>
            </w:r>
          </w:p>
          <w:p w:rsidR="003305B5" w:rsidRDefault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305B5" w:rsidTr="007B0068">
        <w:tc>
          <w:tcPr>
            <w:tcW w:w="10173" w:type="dxa"/>
          </w:tcPr>
          <w:p w:rsidR="003305B5" w:rsidRDefault="003305B5" w:rsidP="003305B5">
            <w:pPr>
              <w:spacing w:before="120" w:after="24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3.Хто відповідає за рівний доступ до політики? Чия це сфера компетенцій?</w:t>
            </w:r>
          </w:p>
          <w:p w:rsidR="003305B5" w:rsidRDefault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305B5" w:rsidTr="007B0068">
        <w:tc>
          <w:tcPr>
            <w:tcW w:w="10173" w:type="dxa"/>
          </w:tcPr>
          <w:p w:rsidR="003305B5" w:rsidRDefault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4.Хто виступатиме проти змін для рівного доступу до політики?</w:t>
            </w: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305B5" w:rsidTr="00E72E7B">
        <w:tc>
          <w:tcPr>
            <w:tcW w:w="10173" w:type="dxa"/>
            <w:tcBorders>
              <w:bottom w:val="single" w:sz="4" w:space="0" w:color="auto"/>
            </w:tcBorders>
          </w:tcPr>
          <w:p w:rsidR="003305B5" w:rsidRDefault="003305B5" w:rsidP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5. Ва</w:t>
            </w:r>
            <w:r w:rsidR="007B0068">
              <w:rPr>
                <w:rFonts w:ascii="Arial" w:eastAsia="Arial" w:hAnsi="Arial" w:cs="Arial"/>
                <w:sz w:val="26"/>
                <w:szCs w:val="26"/>
              </w:rPr>
              <w:t>ші контакти (для залучення вас у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ролі експерта)</w:t>
            </w:r>
          </w:p>
          <w:p w:rsidR="007B0068" w:rsidRDefault="007B0068" w:rsidP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p w:rsidR="003305B5" w:rsidRDefault="003305B5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305B5" w:rsidTr="00E72E7B">
        <w:tc>
          <w:tcPr>
            <w:tcW w:w="10173" w:type="dxa"/>
            <w:tcBorders>
              <w:bottom w:val="nil"/>
            </w:tcBorders>
          </w:tcPr>
          <w:p w:rsidR="003305B5" w:rsidRDefault="003305B5" w:rsidP="003305B5">
            <w:pPr>
              <w:spacing w:before="120" w:after="240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6. З ким ще слід проконсультуватися?</w:t>
            </w:r>
          </w:p>
          <w:p w:rsidR="007B0068" w:rsidRDefault="007B0068">
            <w:pPr>
              <w:spacing w:before="120" w:after="240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20108F" w:rsidRDefault="0020108F">
      <w:pPr>
        <w:spacing w:after="160" w:line="259" w:lineRule="auto"/>
      </w:pPr>
    </w:p>
    <w:p w:rsidR="00E72E7B" w:rsidRDefault="00E72E7B">
      <w:pPr>
        <w:spacing w:after="160" w:line="259" w:lineRule="auto"/>
      </w:pPr>
    </w:p>
    <w:tbl>
      <w:tblPr>
        <w:tblStyle w:val="a5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2970"/>
        <w:gridCol w:w="2400"/>
      </w:tblGrid>
      <w:tr w:rsidR="00E72E7B" w:rsidTr="000F186E">
        <w:trPr>
          <w:trHeight w:val="1200"/>
        </w:trPr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Пропонована зміна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Важливість зміни для рівного доступу до політики: 0 – неважливо, 10 – дуже важливо</w:t>
            </w: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Рівень спротиву проти настання зміни: 0 – слабкий, 10 – дуже сильний</w:t>
            </w: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запровадження обмежень на </w:t>
            </w:r>
            <w:proofErr w:type="spellStart"/>
            <w:r>
              <w:rPr>
                <w:rFonts w:ascii="Arial" w:eastAsia="Arial" w:hAnsi="Arial" w:cs="Arial"/>
              </w:rPr>
              <w:t>політрекламу</w:t>
            </w:r>
            <w:proofErr w:type="spellEnd"/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відкриття </w:t>
            </w:r>
            <w:proofErr w:type="spellStart"/>
            <w:r>
              <w:rPr>
                <w:rFonts w:ascii="Arial" w:eastAsia="Arial" w:hAnsi="Arial" w:cs="Arial"/>
              </w:rPr>
              <w:t>прайс-лістів</w:t>
            </w:r>
            <w:proofErr w:type="spellEnd"/>
            <w:r>
              <w:rPr>
                <w:rFonts w:ascii="Arial" w:eastAsia="Arial" w:hAnsi="Arial" w:cs="Arial"/>
              </w:rPr>
              <w:t xml:space="preserve"> підрядників від медіа</w:t>
            </w:r>
            <w:r>
              <w:rPr>
                <w:rFonts w:ascii="Arial" w:eastAsia="Arial" w:hAnsi="Arial" w:cs="Arial"/>
                <w:highlight w:val="white"/>
                <w:vertAlign w:val="superscript"/>
              </w:rPr>
              <w:footnoteReference w:id="1"/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фінансування роботи депутатів місцевих рад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підсилення практики учнівського самоврядування в учбових закладах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запровадження електронного голосування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оновлення кадрового складу ЦВК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нормативна заборона вносити зміни до виборчого законодавства менш ніж за 6 місяців до чергових виборів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розширення термінів кампанії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професіоналізація органів адміністрування виборчого процесу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посилення відповідальності за ненадання проміжних та фінальних фінансових звітів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зниження прохідного бар’єру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забезпечення безкоштовного ефірного часу для партій або кандидатів під час виборчої кампанії в рамках Закону про місцеві вибори</w:t>
            </w:r>
            <w:r>
              <w:rPr>
                <w:rFonts w:ascii="Arial" w:eastAsia="Arial" w:hAnsi="Arial" w:cs="Arial"/>
                <w:highlight w:val="white"/>
                <w:vertAlign w:val="superscript"/>
              </w:rPr>
              <w:footnoteReference w:id="2"/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криміналізація відповідальності за підкуп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право формувати виборчі коаліції та блоки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  <w:tr w:rsidR="00E72E7B" w:rsidTr="000F186E">
        <w:tc>
          <w:tcPr>
            <w:tcW w:w="48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>криміналізація відповідальності замовників фальсифікацій</w:t>
            </w:r>
          </w:p>
        </w:tc>
        <w:tc>
          <w:tcPr>
            <w:tcW w:w="2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Pr="007B0068" w:rsidRDefault="00E72E7B" w:rsidP="000F186E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4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E7B" w:rsidRDefault="00E72E7B" w:rsidP="000F186E">
            <w:pPr>
              <w:widowControl w:val="0"/>
              <w:spacing w:after="0" w:line="240" w:lineRule="auto"/>
            </w:pPr>
          </w:p>
        </w:tc>
      </w:tr>
    </w:tbl>
    <w:p w:rsidR="00E72E7B" w:rsidRDefault="00E72E7B">
      <w:pPr>
        <w:spacing w:after="160" w:line="259" w:lineRule="auto"/>
      </w:pPr>
    </w:p>
    <w:sectPr w:rsidR="00E72E7B" w:rsidSect="007B006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658" w:right="1325" w:bottom="993" w:left="900" w:header="708" w:footer="708" w:gutter="0"/>
      <w:pgNumType w:start="1"/>
      <w:cols w:space="720" w:equalWidth="0">
        <w:col w:w="997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60" w:rsidRDefault="00223A60">
      <w:pPr>
        <w:spacing w:after="0" w:line="240" w:lineRule="auto"/>
      </w:pPr>
      <w:r>
        <w:separator/>
      </w:r>
    </w:p>
  </w:endnote>
  <w:endnote w:type="continuationSeparator" w:id="0">
    <w:p w:rsidR="00223A60" w:rsidRDefault="0022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8F" w:rsidRPr="007B0068" w:rsidRDefault="007B0068" w:rsidP="007B0068">
    <w:pPr>
      <w:pStyle w:val="a8"/>
      <w:jc w:val="right"/>
      <w:rPr>
        <w:color w:val="262626" w:themeColor="text1" w:themeTint="D9"/>
      </w:rPr>
    </w:pPr>
    <w:r w:rsidRPr="007B0068">
      <w:rPr>
        <w:color w:val="262626" w:themeColor="text1" w:themeTint="D9"/>
      </w:rPr>
      <w:t>24 травня 2016 р., презентація політичного порядку денного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B5" w:rsidRPr="007B0068" w:rsidRDefault="007B0068" w:rsidP="007B0068">
    <w:pPr>
      <w:pStyle w:val="a8"/>
      <w:jc w:val="right"/>
      <w:rPr>
        <w:color w:val="404040" w:themeColor="text1" w:themeTint="BF"/>
      </w:rPr>
    </w:pPr>
    <w:r w:rsidRPr="007B0068">
      <w:rPr>
        <w:color w:val="404040" w:themeColor="text1" w:themeTint="BF"/>
      </w:rPr>
      <w:t>25 травня 2016 р., презентація політичного порядку денного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60" w:rsidRDefault="00223A60">
      <w:pPr>
        <w:spacing w:after="0" w:line="240" w:lineRule="auto"/>
      </w:pPr>
      <w:r>
        <w:separator/>
      </w:r>
    </w:p>
  </w:footnote>
  <w:footnote w:type="continuationSeparator" w:id="0">
    <w:p w:rsidR="00223A60" w:rsidRDefault="00223A60">
      <w:pPr>
        <w:spacing w:after="0" w:line="240" w:lineRule="auto"/>
      </w:pPr>
      <w:r>
        <w:continuationSeparator/>
      </w:r>
    </w:p>
  </w:footnote>
  <w:footnote w:id="1">
    <w:p w:rsidR="00E72E7B" w:rsidRDefault="00E72E7B" w:rsidP="00E72E7B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Під медіа розуміємо як ТВ, радіо та пресу, так і носії зовнішньої реклами та фірми-виробники поліграфічної продукції</w:t>
      </w:r>
    </w:p>
  </w:footnote>
  <w:footnote w:id="2">
    <w:p w:rsidR="00E72E7B" w:rsidRDefault="00E72E7B" w:rsidP="00E72E7B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 рамках Закону про вибори народних депутатів така норма існує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8F" w:rsidRDefault="003305B5">
    <w:pPr>
      <w:tabs>
        <w:tab w:val="left" w:pos="648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33152" behindDoc="0" locked="0" layoutInCell="1" allowOverlap="1" wp14:anchorId="6855FA19" wp14:editId="45687B8E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2050415" cy="855345"/>
          <wp:effectExtent l="0" t="0" r="6985" b="1905"/>
          <wp:wrapTight wrapText="bothSides">
            <wp:wrapPolygon edited="0">
              <wp:start x="0" y="0"/>
              <wp:lineTo x="0" y="21167"/>
              <wp:lineTo x="21473" y="21167"/>
              <wp:lineTo x="21473" y="0"/>
              <wp:lineTo x="0" y="0"/>
            </wp:wrapPolygon>
          </wp:wrapTight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0415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1427F0F" wp14:editId="4F115E28">
          <wp:simplePos x="0" y="0"/>
          <wp:positionH relativeFrom="column">
            <wp:posOffset>3486150</wp:posOffset>
          </wp:positionH>
          <wp:positionV relativeFrom="paragraph">
            <wp:posOffset>-259080</wp:posOffset>
          </wp:positionV>
          <wp:extent cx="2876550" cy="676275"/>
          <wp:effectExtent l="0" t="0" r="0" b="9525"/>
          <wp:wrapTight wrapText="bothSides">
            <wp:wrapPolygon edited="0">
              <wp:start x="0" y="0"/>
              <wp:lineTo x="0" y="21296"/>
              <wp:lineTo x="21457" y="21296"/>
              <wp:lineTo x="21457" y="0"/>
              <wp:lineTo x="0" y="0"/>
            </wp:wrapPolygon>
          </wp:wrapTight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3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B5" w:rsidRDefault="003305B5" w:rsidP="003305B5">
    <w:pPr>
      <w:pStyle w:val="a6"/>
      <w:tabs>
        <w:tab w:val="clear" w:pos="4819"/>
        <w:tab w:val="clear" w:pos="9639"/>
        <w:tab w:val="left" w:pos="3195"/>
      </w:tabs>
    </w:pPr>
    <w:r>
      <w:rPr>
        <w:noProof/>
      </w:rPr>
      <w:drawing>
        <wp:anchor distT="0" distB="0" distL="114300" distR="114300" simplePos="0" relativeHeight="251702784" behindDoc="1" locked="0" layoutInCell="1" allowOverlap="1" wp14:anchorId="7A45B4FB" wp14:editId="5F3CEA9B">
          <wp:simplePos x="0" y="0"/>
          <wp:positionH relativeFrom="column">
            <wp:posOffset>3486150</wp:posOffset>
          </wp:positionH>
          <wp:positionV relativeFrom="paragraph">
            <wp:posOffset>-240030</wp:posOffset>
          </wp:positionV>
          <wp:extent cx="2876550" cy="676275"/>
          <wp:effectExtent l="0" t="0" r="0" b="9525"/>
          <wp:wrapNone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304" behindDoc="1" locked="0" layoutInCell="1" allowOverlap="1" wp14:anchorId="2EA80676" wp14:editId="7F0CAF5C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2050415" cy="855345"/>
          <wp:effectExtent l="0" t="0" r="6985" b="1905"/>
          <wp:wrapNone/>
          <wp:docPr id="5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2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0415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3305B5" w:rsidRDefault="003305B5" w:rsidP="003305B5">
    <w:pPr>
      <w:pStyle w:val="a6"/>
      <w:tabs>
        <w:tab w:val="clear" w:pos="4819"/>
        <w:tab w:val="clear" w:pos="9639"/>
        <w:tab w:val="left" w:pos="2655"/>
      </w:tabs>
    </w:pPr>
    <w:r>
      <w:tab/>
    </w:r>
  </w:p>
  <w:p w:rsidR="003305B5" w:rsidRDefault="003305B5">
    <w:pPr>
      <w:pStyle w:val="a6"/>
    </w:pPr>
    <w: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108F"/>
    <w:rsid w:val="000227B3"/>
    <w:rsid w:val="0020108F"/>
    <w:rsid w:val="00223A60"/>
    <w:rsid w:val="003305B5"/>
    <w:rsid w:val="00534598"/>
    <w:rsid w:val="007B0068"/>
    <w:rsid w:val="00E72E7B"/>
    <w:rsid w:val="00F0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0AB7A5-A31A-41BA-97FC-85C66CF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305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305B5"/>
  </w:style>
  <w:style w:type="paragraph" w:styleId="a8">
    <w:name w:val="footer"/>
    <w:basedOn w:val="a"/>
    <w:link w:val="a9"/>
    <w:uiPriority w:val="99"/>
    <w:unhideWhenUsed/>
    <w:rsid w:val="003305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305B5"/>
  </w:style>
  <w:style w:type="table" w:styleId="aa">
    <w:name w:val="Table Grid"/>
    <w:basedOn w:val="a1"/>
    <w:uiPriority w:val="39"/>
    <w:rsid w:val="0033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Єгор Поляков</dc:creator>
  <cp:lastModifiedBy>Поляков Єгор</cp:lastModifiedBy>
  <cp:revision>4</cp:revision>
  <cp:lastPrinted>2016-05-23T22:09:00Z</cp:lastPrinted>
  <dcterms:created xsi:type="dcterms:W3CDTF">2016-05-23T19:28:00Z</dcterms:created>
  <dcterms:modified xsi:type="dcterms:W3CDTF">2016-05-23T22:10:00Z</dcterms:modified>
</cp:coreProperties>
</file>